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A6F8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科室：儿童消化科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3647"/>
        <w:gridCol w:w="3318"/>
      </w:tblGrid>
      <w:tr w14:paraId="5DB47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 w14:paraId="06089FE5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 w14:paraId="771650C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儿童消化科拟招收医生学习儿童消化系统疾病、消化内镜。</w:t>
            </w:r>
          </w:p>
        </w:tc>
      </w:tr>
      <w:tr w14:paraId="0093E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05" w:type="dxa"/>
          </w:tcPr>
          <w:p w14:paraId="60238D11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 w14:paraId="09207D1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有执业医师证书。</w:t>
            </w:r>
          </w:p>
        </w:tc>
      </w:tr>
      <w:tr w14:paraId="49765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605" w:type="dxa"/>
          </w:tcPr>
          <w:p w14:paraId="708B33BA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 w14:paraId="7AEAD79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川省妇幼保健院小儿消化专科有医师6人：副高及以上职称2人、主治医师3人、住院医师1人。有独立的内镜中心，拥有胃肠镜室、清洗室、储物间、复苏室、麻醉机等；有消化内镜主机：奥林巴斯170主机1台、奥林巴斯H 290主机2台；胃肠镜：胃镜4条、肠镜2条。小儿消化专科诊疗病种：（1）胃肠道疾病：幽门螺杆菌感染、消化性溃疡、消化道出血、急性胰腺炎、多种原因的腹痛、迁延性及慢性腹泻、食物过敏性胃肠病、炎症性肠病、黑斑息肉综合征、胃食管反流、贲门粘膜撕裂症、梅克尔憩室、坏死性小肠结肠炎、过敏性紫癜、营养不良、消化不良、呕吐、便秘等。（2）各种原因的黄疸、胆汁淤积、转氨酶升高等。（3）消化内镜技术：如胃肠镜、结直肠息肉切除、消化道异物取出、胃肠营养管植入、内镜下钛夹及喷洒止血术、儿童胶囊式内窥镜等。</w:t>
            </w:r>
          </w:p>
        </w:tc>
      </w:tr>
      <w:tr w14:paraId="12640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 w14:paraId="721DF22E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 w14:paraId="126116D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1.儿童消化内镜，尤其消化道异物取出。2.儿童肝病。</w:t>
            </w:r>
          </w:p>
        </w:tc>
      </w:tr>
      <w:tr w14:paraId="0A7A2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1605" w:type="dxa"/>
            <w:shd w:val="clear" w:color="auto" w:fill="auto"/>
            <w:vAlign w:val="top"/>
          </w:tcPr>
          <w:p w14:paraId="7B7B0EC1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 w14:paraId="26F41D2E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1.科室会针对进修医生的需求，重点培养适合进修医生的诊疗技术。</w:t>
            </w:r>
          </w:p>
          <w:p w14:paraId="74BFF470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2.对临床工作中的病例，鼓励和指导论文写作。</w:t>
            </w:r>
          </w:p>
          <w:p w14:paraId="61DFED4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3.进修期间及进修结束后，保持业务和科研联系，包括合作课题申报等。</w:t>
            </w:r>
          </w:p>
        </w:tc>
      </w:tr>
      <w:tr w14:paraId="6887C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 w14:paraId="1297372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 w14:paraId="51DD2E82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20081DE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 w14:paraId="2219C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 w14:paraId="357958F0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808080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tbl>
            <w:tblPr>
              <w:tblW w:w="3331" w:type="dxa"/>
              <w:tblInd w:w="-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331"/>
            </w:tblGrid>
            <w:tr w14:paraId="2524E70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33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59AE7BA3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儿童消化道异物的评估</w:t>
                  </w:r>
                </w:p>
              </w:tc>
            </w:tr>
            <w:tr w14:paraId="2ADA154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5037E7F5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消化道出血病例分析</w:t>
                  </w:r>
                </w:p>
              </w:tc>
            </w:tr>
            <w:tr w14:paraId="4384882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3232921B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感染性腹泻诊治</w:t>
                  </w:r>
                </w:p>
              </w:tc>
            </w:tr>
            <w:tr w14:paraId="34FB585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1EFD82FA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婴幼儿食物过敏的识别与管理</w:t>
                  </w:r>
                </w:p>
              </w:tc>
            </w:tr>
            <w:tr w14:paraId="583EA92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4D5688FB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肝功能报告解读</w:t>
                  </w:r>
                </w:p>
              </w:tc>
            </w:tr>
            <w:tr w14:paraId="121F985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23B9A25B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肝功异常病例分析</w:t>
                  </w:r>
                </w:p>
              </w:tc>
            </w:tr>
            <w:tr w14:paraId="16AAA27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0F58EF30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液体疗法</w:t>
                  </w:r>
                </w:p>
              </w:tc>
            </w:tr>
            <w:tr w14:paraId="281A08C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7335DD65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NTCP缺陷病</w:t>
                  </w:r>
                </w:p>
              </w:tc>
            </w:tr>
            <w:tr w14:paraId="5C189B5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47BF7E2D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儿童消化内镜</w:t>
                  </w:r>
                </w:p>
              </w:tc>
            </w:tr>
            <w:tr w14:paraId="2D64903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19785758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消化性溃疡</w:t>
                  </w:r>
                </w:p>
              </w:tc>
            </w:tr>
            <w:tr w14:paraId="3A17644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1146E09D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幽门螺杆菌感染</w:t>
                  </w:r>
                </w:p>
              </w:tc>
            </w:tr>
            <w:tr w14:paraId="56367C4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7A914AD3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益生菌</w:t>
                  </w:r>
                </w:p>
              </w:tc>
            </w:tr>
            <w:tr w14:paraId="3322098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2E5D29A0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功能性便秘的管理</w:t>
                  </w:r>
                </w:p>
              </w:tc>
            </w:tr>
            <w:tr w14:paraId="0268C50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34A15AA4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学习途径和学习方法</w:t>
                  </w:r>
                </w:p>
              </w:tc>
            </w:tr>
            <w:tr w14:paraId="4C86AFE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2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vAlign w:val="center"/>
                </w:tcPr>
                <w:p w14:paraId="52A13AAE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theme="minorBidi"/>
                      <w:b/>
                      <w:bCs/>
                      <w:kern w:val="2"/>
                      <w:sz w:val="21"/>
                      <w:szCs w:val="24"/>
                      <w:lang w:val="en-US" w:eastAsia="zh-CN" w:bidi="ar-SA"/>
                    </w:rPr>
                    <w:t>炎症性肠病</w:t>
                  </w:r>
                </w:p>
              </w:tc>
            </w:tr>
          </w:tbl>
          <w:p w14:paraId="0EED47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9" w:type="dxa"/>
            <w:shd w:val="clear" w:color="auto" w:fill="auto"/>
            <w:vAlign w:val="center"/>
          </w:tcPr>
          <w:p w14:paraId="67C6AE1B">
            <w:pPr>
              <w:numPr>
                <w:ilvl w:val="0"/>
                <w:numId w:val="0"/>
              </w:numPr>
              <w:jc w:val="both"/>
              <w:rPr>
                <w:rFonts w:hint="default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1.指定转科医生负责进修医生带教。2.每周1次小讲课，结合进修医生的需求，内容包括病例学习、进展讲座等。3.儿童消化相关辅助检查报</w:t>
            </w:r>
            <w:bookmarkStart w:id="0" w:name="_GoBack"/>
            <w:bookmarkEnd w:id="0"/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告解读。4.儿童消化系统疾病、消化内镜、消化道异物取出、肝病的诊疗指导。5.撰写论文，个案分析为主。</w:t>
            </w:r>
          </w:p>
        </w:tc>
      </w:tr>
      <w:tr w14:paraId="0DD96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 w14:paraId="432A9413">
            <w:pPr>
              <w:rPr>
                <w:rFonts w:hint="default"/>
                <w:b w:val="0"/>
                <w:bCs w:val="0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 w14:paraId="3709624E">
            <w:pPr>
              <w:numPr>
                <w:ilvl w:val="0"/>
                <w:numId w:val="0"/>
              </w:numPr>
              <w:jc w:val="both"/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培养临床观察力和从个案中学习的习惯。</w:t>
            </w:r>
          </w:p>
          <w:p w14:paraId="3F1DBD8C">
            <w:pPr>
              <w:numPr>
                <w:ilvl w:val="0"/>
                <w:numId w:val="0"/>
              </w:numPr>
              <w:jc w:val="both"/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掌握医学论文（特别是个案报告）的基本撰写方法与规范。</w:t>
            </w:r>
          </w:p>
          <w:p w14:paraId="6D0AD5B3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完成一篇达到可发表水平的初稿，作为进修期间的学术成果。</w:t>
            </w:r>
          </w:p>
        </w:tc>
      </w:tr>
      <w:tr w14:paraId="029D7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 w14:paraId="5883C4CC"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 w14:paraId="2E2DCB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无</w:t>
            </w:r>
          </w:p>
        </w:tc>
      </w:tr>
    </w:tbl>
    <w:p w14:paraId="40F1E3F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0CD4134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574301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2A6CFA"/>
    <w:rsid w:val="35942299"/>
    <w:rsid w:val="35AA386B"/>
    <w:rsid w:val="35B20971"/>
    <w:rsid w:val="35BA0AF5"/>
    <w:rsid w:val="364C2B74"/>
    <w:rsid w:val="372B09DB"/>
    <w:rsid w:val="37CE542D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681D8A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CE52DE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4F4E6E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89F492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59C730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89</Characters>
  <Lines>0</Lines>
  <Paragraphs>0</Paragraphs>
  <TotalTime>11</TotalTime>
  <ScaleCrop>false</ScaleCrop>
  <LinksUpToDate>false</LinksUpToDate>
  <CharactersWithSpaces>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Smile</cp:lastModifiedBy>
  <dcterms:modified xsi:type="dcterms:W3CDTF">2025-11-14T09:06:29Z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eyJoZGlkIjoiMGJiM2QzMTFkZGRiMjZkNzg4MmEwMDUzOGNjNDNlZjEiLCJ1c2VySWQiOiIzNDE3MjI0NzcifQ==</vt:lpwstr>
  </property>
  <property fmtid="{D5CDD505-2E9C-101B-9397-08002B2CF9AE}" pid="4" name="ICV">
    <vt:lpwstr>851690B6EC96402886565D592777E0F5_12</vt:lpwstr>
  </property>
</Properties>
</file>